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3B" w:rsidRDefault="00B3743B" w:rsidP="00F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B3743B" w:rsidRDefault="00B3743B" w:rsidP="00F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 р.п. Дергачи»</w:t>
      </w:r>
    </w:p>
    <w:p w:rsidR="00EB5E2D" w:rsidRPr="00F61C36" w:rsidRDefault="00EB5E2D" w:rsidP="00F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36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871E5F" w:rsidRPr="00F61C36" w:rsidRDefault="00EB5E2D" w:rsidP="00F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36">
        <w:rPr>
          <w:rFonts w:ascii="Times New Roman" w:hAnsi="Times New Roman" w:cs="Times New Roman"/>
          <w:b/>
          <w:sz w:val="24"/>
          <w:szCs w:val="24"/>
        </w:rPr>
        <w:t>заседания родительского комитета от 09.01.2014 года</w:t>
      </w:r>
    </w:p>
    <w:p w:rsidR="00EB5E2D" w:rsidRPr="00F61C36" w:rsidRDefault="00EB5E2D">
      <w:p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Гаврюшова</w:t>
      </w:r>
      <w:proofErr w:type="spellEnd"/>
      <w:r w:rsidRPr="00F61C36">
        <w:rPr>
          <w:rFonts w:ascii="Times New Roman" w:hAnsi="Times New Roman" w:cs="Times New Roman"/>
          <w:sz w:val="24"/>
          <w:szCs w:val="24"/>
        </w:rPr>
        <w:t xml:space="preserve"> Г.Н., Воробьева С.А.. Косенкова Н.А., Вострикова Л.К., Лаврентьева А.Ю.,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Коблова</w:t>
      </w:r>
      <w:proofErr w:type="spellEnd"/>
      <w:r w:rsidRPr="00F61C36">
        <w:rPr>
          <w:rFonts w:ascii="Times New Roman" w:hAnsi="Times New Roman" w:cs="Times New Roman"/>
          <w:sz w:val="24"/>
          <w:szCs w:val="24"/>
        </w:rPr>
        <w:t xml:space="preserve"> Г.Ю.,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Шруб</w:t>
      </w:r>
      <w:proofErr w:type="spellEnd"/>
      <w:r w:rsidRPr="00F61C36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Туйгушева</w:t>
      </w:r>
      <w:proofErr w:type="spellEnd"/>
      <w:r w:rsidRPr="00F61C36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F61C36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Бадалян</w:t>
      </w:r>
      <w:proofErr w:type="spellEnd"/>
      <w:r w:rsidRPr="00F61C36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Айткалиева</w:t>
      </w:r>
      <w:proofErr w:type="spellEnd"/>
      <w:r w:rsidRPr="00F61C36">
        <w:rPr>
          <w:rFonts w:ascii="Times New Roman" w:hAnsi="Times New Roman" w:cs="Times New Roman"/>
          <w:sz w:val="24"/>
          <w:szCs w:val="24"/>
        </w:rPr>
        <w:t xml:space="preserve"> Р.Р.; администрация </w:t>
      </w:r>
      <w:r w:rsidR="00F61C36">
        <w:rPr>
          <w:rFonts w:ascii="Times New Roman" w:hAnsi="Times New Roman" w:cs="Times New Roman"/>
          <w:sz w:val="24"/>
          <w:szCs w:val="24"/>
        </w:rPr>
        <w:t xml:space="preserve"> и педагоги </w:t>
      </w:r>
      <w:r w:rsidRPr="00F61C36">
        <w:rPr>
          <w:rFonts w:ascii="Times New Roman" w:hAnsi="Times New Roman" w:cs="Times New Roman"/>
          <w:sz w:val="24"/>
          <w:szCs w:val="24"/>
        </w:rPr>
        <w:t xml:space="preserve">школы: Маляр Н.И..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F61C36">
        <w:rPr>
          <w:rFonts w:ascii="Times New Roman" w:hAnsi="Times New Roman" w:cs="Times New Roman"/>
          <w:sz w:val="24"/>
          <w:szCs w:val="24"/>
        </w:rPr>
        <w:t xml:space="preserve"> Т.М. Шевцова Г.В., Игонина Т.А.</w:t>
      </w:r>
    </w:p>
    <w:p w:rsidR="00EB5E2D" w:rsidRPr="00F61C36" w:rsidRDefault="00EB5E2D">
      <w:p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B5E2D" w:rsidRPr="00F61C36" w:rsidRDefault="00EB5E2D" w:rsidP="00EB5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sz w:val="24"/>
          <w:szCs w:val="24"/>
        </w:rPr>
        <w:t>Рассмотрение и согласование локальных актов школы в соответствии с новым законом об образовании.</w:t>
      </w:r>
    </w:p>
    <w:p w:rsidR="00EB5E2D" w:rsidRPr="00F61C36" w:rsidRDefault="00EB5E2D" w:rsidP="00EB5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sz w:val="24"/>
          <w:szCs w:val="24"/>
        </w:rPr>
        <w:t>Отчет об использовании добровольных родительских средств в 2013 году.</w:t>
      </w:r>
    </w:p>
    <w:p w:rsidR="003B0511" w:rsidRPr="00F61C36" w:rsidRDefault="003B0511" w:rsidP="003B0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hyperlink r:id="rId5" w:tgtFrame="_blank" w:history="1">
        <w:r w:rsidRPr="00F61C36">
          <w:rPr>
            <w:rFonts w:ascii="Times New Roman" w:hAnsi="Times New Roman" w:cs="Times New Roman"/>
            <w:sz w:val="24"/>
            <w:szCs w:val="24"/>
          </w:rPr>
          <w:t>Федеральном закон</w:t>
        </w:r>
      </w:hyperlink>
      <w:r w:rsidRPr="00F61C36">
        <w:rPr>
          <w:rFonts w:ascii="Times New Roman" w:hAnsi="Times New Roman" w:cs="Times New Roman"/>
          <w:color w:val="000000"/>
          <w:sz w:val="24"/>
          <w:szCs w:val="24"/>
        </w:rPr>
        <w:t>е от 05.04.2013 N 44-ФЗ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B5E2D" w:rsidRPr="00F61C36" w:rsidRDefault="00EB5E2D" w:rsidP="00EB5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sz w:val="24"/>
          <w:szCs w:val="24"/>
        </w:rPr>
        <w:t>Обеспеченность учебниками на 2014-2015 учебный год.</w:t>
      </w:r>
    </w:p>
    <w:p w:rsidR="00EB5E2D" w:rsidRPr="00F61C36" w:rsidRDefault="00EB5E2D" w:rsidP="00EB5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О планируемом ремонте школы в 2014 году.</w:t>
      </w:r>
    </w:p>
    <w:p w:rsidR="00EB5E2D" w:rsidRPr="00F61C36" w:rsidRDefault="00EB5E2D" w:rsidP="00EB5E2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B5E2D" w:rsidRPr="00F61C36" w:rsidRDefault="00EB5E2D" w:rsidP="00EB5E2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Ход совещания:</w:t>
      </w:r>
    </w:p>
    <w:p w:rsidR="00EB5E2D" w:rsidRPr="00F61C36" w:rsidRDefault="003B0511" w:rsidP="003B05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B5E2D"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По первому вопросу слушали Маляр Н.И. – директора школы. Она напомнила родителям о том, что с 1 </w:t>
      </w:r>
      <w:r w:rsidRPr="00F61C36">
        <w:rPr>
          <w:rFonts w:ascii="Times New Roman" w:hAnsi="Times New Roman" w:cs="Times New Roman"/>
          <w:color w:val="000000"/>
          <w:sz w:val="24"/>
          <w:szCs w:val="24"/>
        </w:rPr>
        <w:t>сентября 2013 года в силу вступил Федеральный закон от 29.12.2012 г. 3 273-ФЗ «Об образовании в Российской Федерации».  В связи с этим в школе были пересмотрены многие локальные акты, регламентирующие учебно-воспитательный процесс. В сентябре 2013 года создана рабочая группа по рецензированию и разработке локальных актов.</w:t>
      </w:r>
      <w:r w:rsidR="00C63119"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 Особое внимание Маляр Н.И. уделила тому, что теперь, согласно новому закону, родительский комитет будет называться Советом родителей.</w:t>
      </w:r>
    </w:p>
    <w:p w:rsidR="003B0511" w:rsidRPr="00F61C36" w:rsidRDefault="003B0511" w:rsidP="003B05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Для обсуждения</w:t>
      </w:r>
      <w:r w:rsidR="00C63119"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 были предложены следующие локальные акты:</w:t>
      </w:r>
    </w:p>
    <w:p w:rsidR="00C63119" w:rsidRPr="00F61C36" w:rsidRDefault="00C63119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Договор-согласие на привлечение ребенка к посильному труду</w:t>
      </w:r>
    </w:p>
    <w:p w:rsidR="00C63119" w:rsidRPr="00F61C36" w:rsidRDefault="00C63119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Договор-согласие на проведение психолого-педагогической диагностики</w:t>
      </w:r>
    </w:p>
    <w:p w:rsidR="00C63119" w:rsidRPr="00F61C36" w:rsidRDefault="00C63119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Положение об уполномоченном по правам участников образовательных отношений</w:t>
      </w:r>
    </w:p>
    <w:p w:rsidR="00C63119" w:rsidRPr="00F61C36" w:rsidRDefault="00C63119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применения к учащимся и снятии с учащихся мер дисциплинарного взыскания</w:t>
      </w:r>
    </w:p>
    <w:p w:rsidR="00C63119" w:rsidRPr="00F61C36" w:rsidRDefault="00C63119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постановке учащихся на </w:t>
      </w:r>
      <w:proofErr w:type="spellStart"/>
      <w:r w:rsidRPr="00F61C36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 учет</w:t>
      </w:r>
    </w:p>
    <w:p w:rsidR="00C63119" w:rsidRPr="00F61C36" w:rsidRDefault="00C63119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Положение о пользовании учащимися лечебно-оздоровительной инфраструктуры, объектами культуры и спорта.</w:t>
      </w:r>
    </w:p>
    <w:p w:rsidR="00C63119" w:rsidRPr="00F61C36" w:rsidRDefault="00C63119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Положение о родительских собраниях</w:t>
      </w:r>
    </w:p>
    <w:p w:rsidR="00C63119" w:rsidRPr="00F61C36" w:rsidRDefault="00C63119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Положение о летней трудовой практике</w:t>
      </w:r>
    </w:p>
    <w:p w:rsidR="00C63119" w:rsidRPr="00F61C36" w:rsidRDefault="00C63119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Положение об организации горячего питания</w:t>
      </w:r>
    </w:p>
    <w:p w:rsidR="00C63119" w:rsidRPr="00F61C36" w:rsidRDefault="00C63119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единых требованиях к внешнему виду учащихся и </w:t>
      </w:r>
      <w:proofErr w:type="spellStart"/>
      <w:r w:rsidRPr="00F61C36">
        <w:rPr>
          <w:rFonts w:ascii="Times New Roman" w:hAnsi="Times New Roman" w:cs="Times New Roman"/>
          <w:color w:val="000000"/>
          <w:sz w:val="24"/>
          <w:szCs w:val="24"/>
        </w:rPr>
        <w:t>педработников</w:t>
      </w:r>
      <w:proofErr w:type="spellEnd"/>
      <w:r w:rsidRPr="00F61C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3119" w:rsidRPr="00F61C36" w:rsidRDefault="00C63119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Положение о летнем оздоровительном лагере с дневным пребыванием детей при школе</w:t>
      </w:r>
    </w:p>
    <w:p w:rsidR="00C63119" w:rsidRPr="00F61C36" w:rsidRDefault="00C63119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Положение об организации дежурства учащихся по школе</w:t>
      </w:r>
    </w:p>
    <w:p w:rsidR="00C63119" w:rsidRPr="00F61C36" w:rsidRDefault="001358B5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для учащихся</w:t>
      </w:r>
    </w:p>
    <w:p w:rsidR="001358B5" w:rsidRPr="00F61C36" w:rsidRDefault="001358B5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Положение о посещении мероприятий, не предусмотренных учебным планом</w:t>
      </w:r>
    </w:p>
    <w:p w:rsidR="001358B5" w:rsidRPr="00F61C36" w:rsidRDefault="001358B5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Положение о Совете родителей</w:t>
      </w:r>
    </w:p>
    <w:p w:rsidR="001358B5" w:rsidRPr="00F61C36" w:rsidRDefault="001358B5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</w:t>
      </w:r>
      <w:r w:rsidRPr="00F61C36">
        <w:rPr>
          <w:rFonts w:ascii="Times New Roman" w:eastAsia="Calibri" w:hAnsi="Times New Roman" w:cs="Times New Roman"/>
          <w:sz w:val="24"/>
          <w:szCs w:val="24"/>
        </w:rPr>
        <w:t xml:space="preserve"> порядке приёма </w:t>
      </w:r>
      <w:proofErr w:type="gramStart"/>
      <w:r w:rsidRPr="00F61C3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1358B5" w:rsidRPr="00F61C36" w:rsidRDefault="001358B5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61C36">
        <w:rPr>
          <w:rFonts w:ascii="Times New Roman" w:hAnsi="Times New Roman" w:cs="Times New Roman"/>
          <w:bCs/>
          <w:sz w:val="24"/>
          <w:szCs w:val="24"/>
        </w:rPr>
        <w:t>Положение о поря</w:t>
      </w:r>
      <w:r w:rsidRPr="00F61C36">
        <w:rPr>
          <w:rFonts w:ascii="Times New Roman" w:hAnsi="Times New Roman" w:cs="Times New Roman"/>
          <w:bCs/>
          <w:spacing w:val="-2"/>
          <w:sz w:val="24"/>
          <w:szCs w:val="24"/>
        </w:rPr>
        <w:t>д</w:t>
      </w:r>
      <w:r w:rsidRPr="00F61C36">
        <w:rPr>
          <w:rFonts w:ascii="Times New Roman" w:hAnsi="Times New Roman" w:cs="Times New Roman"/>
          <w:bCs/>
          <w:sz w:val="24"/>
          <w:szCs w:val="24"/>
        </w:rPr>
        <w:t>ке</w:t>
      </w:r>
      <w:r w:rsidRPr="00F61C36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F61C36">
        <w:rPr>
          <w:rFonts w:ascii="Times New Roman" w:hAnsi="Times New Roman" w:cs="Times New Roman"/>
          <w:bCs/>
          <w:sz w:val="24"/>
          <w:szCs w:val="24"/>
        </w:rPr>
        <w:t>и</w:t>
      </w:r>
      <w:r w:rsidRPr="00F61C36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F61C36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F61C36">
        <w:rPr>
          <w:rFonts w:ascii="Times New Roman" w:hAnsi="Times New Roman" w:cs="Times New Roman"/>
          <w:bCs/>
          <w:sz w:val="24"/>
          <w:szCs w:val="24"/>
        </w:rPr>
        <w:t>сно</w:t>
      </w:r>
      <w:r w:rsidRPr="00F61C36">
        <w:rPr>
          <w:rFonts w:ascii="Times New Roman" w:hAnsi="Times New Roman" w:cs="Times New Roman"/>
          <w:bCs/>
          <w:spacing w:val="-1"/>
          <w:sz w:val="24"/>
          <w:szCs w:val="24"/>
        </w:rPr>
        <w:t>в</w:t>
      </w:r>
      <w:r w:rsidRPr="00F61C36">
        <w:rPr>
          <w:rFonts w:ascii="Times New Roman" w:hAnsi="Times New Roman" w:cs="Times New Roman"/>
          <w:bCs/>
          <w:sz w:val="24"/>
          <w:szCs w:val="24"/>
        </w:rPr>
        <w:t>ан</w:t>
      </w:r>
      <w:r w:rsidRPr="00F61C3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F61C36">
        <w:rPr>
          <w:rFonts w:ascii="Times New Roman" w:hAnsi="Times New Roman" w:cs="Times New Roman"/>
          <w:bCs/>
          <w:sz w:val="24"/>
          <w:szCs w:val="24"/>
        </w:rPr>
        <w:t>я</w:t>
      </w:r>
      <w:r w:rsidRPr="00F61C36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F61C36">
        <w:rPr>
          <w:rFonts w:ascii="Times New Roman" w:hAnsi="Times New Roman" w:cs="Times New Roman"/>
          <w:bCs/>
          <w:sz w:val="24"/>
          <w:szCs w:val="24"/>
        </w:rPr>
        <w:t>перево</w:t>
      </w:r>
      <w:r w:rsidRPr="00F61C36">
        <w:rPr>
          <w:rFonts w:ascii="Times New Roman" w:hAnsi="Times New Roman" w:cs="Times New Roman"/>
          <w:bCs/>
          <w:spacing w:val="-2"/>
          <w:sz w:val="24"/>
          <w:szCs w:val="24"/>
        </w:rPr>
        <w:t>д</w:t>
      </w:r>
      <w:r w:rsidRPr="00F61C36">
        <w:rPr>
          <w:rFonts w:ascii="Times New Roman" w:hAnsi="Times New Roman" w:cs="Times New Roman"/>
          <w:bCs/>
          <w:sz w:val="24"/>
          <w:szCs w:val="24"/>
        </w:rPr>
        <w:t>а,</w:t>
      </w:r>
      <w:r w:rsidRPr="00F61C36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F61C36">
        <w:rPr>
          <w:rFonts w:ascii="Times New Roman" w:hAnsi="Times New Roman" w:cs="Times New Roman"/>
          <w:bCs/>
          <w:sz w:val="24"/>
          <w:szCs w:val="24"/>
        </w:rPr>
        <w:t>отчис</w:t>
      </w:r>
      <w:r w:rsidRPr="00F61C36">
        <w:rPr>
          <w:rFonts w:ascii="Times New Roman" w:hAnsi="Times New Roman" w:cs="Times New Roman"/>
          <w:bCs/>
          <w:spacing w:val="-1"/>
          <w:sz w:val="24"/>
          <w:szCs w:val="24"/>
        </w:rPr>
        <w:t>л</w:t>
      </w:r>
      <w:r w:rsidRPr="00F61C36">
        <w:rPr>
          <w:rFonts w:ascii="Times New Roman" w:hAnsi="Times New Roman" w:cs="Times New Roman"/>
          <w:bCs/>
          <w:sz w:val="24"/>
          <w:szCs w:val="24"/>
        </w:rPr>
        <w:t>ен</w:t>
      </w:r>
      <w:r w:rsidRPr="00F61C3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F61C36">
        <w:rPr>
          <w:rFonts w:ascii="Times New Roman" w:hAnsi="Times New Roman" w:cs="Times New Roman"/>
          <w:bCs/>
          <w:sz w:val="24"/>
          <w:szCs w:val="24"/>
        </w:rPr>
        <w:t>я</w:t>
      </w:r>
      <w:r w:rsidRPr="00F61C36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F61C36">
        <w:rPr>
          <w:rFonts w:ascii="Times New Roman" w:hAnsi="Times New Roman" w:cs="Times New Roman"/>
          <w:bCs/>
          <w:sz w:val="24"/>
          <w:szCs w:val="24"/>
        </w:rPr>
        <w:t>и</w:t>
      </w:r>
      <w:r w:rsidRPr="00F61C36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F61C36">
        <w:rPr>
          <w:rFonts w:ascii="Times New Roman" w:hAnsi="Times New Roman" w:cs="Times New Roman"/>
          <w:bCs/>
          <w:sz w:val="24"/>
          <w:szCs w:val="24"/>
        </w:rPr>
        <w:t>вос</w:t>
      </w:r>
      <w:r w:rsidRPr="00F61C3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F61C36">
        <w:rPr>
          <w:rFonts w:ascii="Times New Roman" w:hAnsi="Times New Roman" w:cs="Times New Roman"/>
          <w:bCs/>
          <w:sz w:val="24"/>
          <w:szCs w:val="24"/>
        </w:rPr>
        <w:t>т</w:t>
      </w:r>
      <w:r w:rsidRPr="00F61C36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F61C36">
        <w:rPr>
          <w:rFonts w:ascii="Times New Roman" w:hAnsi="Times New Roman" w:cs="Times New Roman"/>
          <w:bCs/>
          <w:spacing w:val="-3"/>
          <w:sz w:val="24"/>
          <w:szCs w:val="24"/>
        </w:rPr>
        <w:t>н</w:t>
      </w:r>
      <w:r w:rsidRPr="00F61C36">
        <w:rPr>
          <w:rFonts w:ascii="Times New Roman" w:hAnsi="Times New Roman" w:cs="Times New Roman"/>
          <w:bCs/>
          <w:sz w:val="24"/>
          <w:szCs w:val="24"/>
        </w:rPr>
        <w:t>ов</w:t>
      </w:r>
      <w:r w:rsidRPr="00F61C36">
        <w:rPr>
          <w:rFonts w:ascii="Times New Roman" w:hAnsi="Times New Roman" w:cs="Times New Roman"/>
          <w:bCs/>
          <w:spacing w:val="-1"/>
          <w:sz w:val="24"/>
          <w:szCs w:val="24"/>
        </w:rPr>
        <w:t>л</w:t>
      </w:r>
      <w:r w:rsidRPr="00F61C36">
        <w:rPr>
          <w:rFonts w:ascii="Times New Roman" w:hAnsi="Times New Roman" w:cs="Times New Roman"/>
          <w:bCs/>
          <w:sz w:val="24"/>
          <w:szCs w:val="24"/>
        </w:rPr>
        <w:t>ен</w:t>
      </w:r>
      <w:r w:rsidRPr="00F61C36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F61C36">
        <w:rPr>
          <w:rFonts w:ascii="Times New Roman" w:hAnsi="Times New Roman" w:cs="Times New Roman"/>
          <w:bCs/>
          <w:sz w:val="24"/>
          <w:szCs w:val="24"/>
        </w:rPr>
        <w:t>я</w:t>
      </w:r>
      <w:r w:rsidRPr="00F61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C36">
        <w:rPr>
          <w:rFonts w:ascii="Times New Roman" w:hAnsi="Times New Roman" w:cs="Times New Roman"/>
          <w:bCs/>
          <w:sz w:val="24"/>
          <w:szCs w:val="24"/>
        </w:rPr>
        <w:t>обу</w:t>
      </w:r>
      <w:r w:rsidRPr="00F61C36">
        <w:rPr>
          <w:rFonts w:ascii="Times New Roman" w:hAnsi="Times New Roman" w:cs="Times New Roman"/>
          <w:bCs/>
          <w:spacing w:val="-1"/>
          <w:sz w:val="24"/>
          <w:szCs w:val="24"/>
        </w:rPr>
        <w:t>ч</w:t>
      </w:r>
      <w:r w:rsidRPr="00F61C36">
        <w:rPr>
          <w:rFonts w:ascii="Times New Roman" w:hAnsi="Times New Roman" w:cs="Times New Roman"/>
          <w:bCs/>
          <w:sz w:val="24"/>
          <w:szCs w:val="24"/>
        </w:rPr>
        <w:t>аю</w:t>
      </w:r>
      <w:r w:rsidRPr="00F61C36">
        <w:rPr>
          <w:rFonts w:ascii="Times New Roman" w:hAnsi="Times New Roman" w:cs="Times New Roman"/>
          <w:bCs/>
          <w:spacing w:val="-2"/>
          <w:sz w:val="24"/>
          <w:szCs w:val="24"/>
        </w:rPr>
        <w:t>щ</w:t>
      </w:r>
      <w:r w:rsidRPr="00F61C36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F61C36">
        <w:rPr>
          <w:rFonts w:ascii="Times New Roman" w:hAnsi="Times New Roman" w:cs="Times New Roman"/>
          <w:bCs/>
          <w:sz w:val="24"/>
          <w:szCs w:val="24"/>
        </w:rPr>
        <w:t>хся</w:t>
      </w:r>
      <w:proofErr w:type="gramEnd"/>
    </w:p>
    <w:p w:rsidR="001358B5" w:rsidRPr="00F61C36" w:rsidRDefault="001358B5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sz w:val="24"/>
          <w:szCs w:val="24"/>
        </w:rPr>
        <w:t>Положение о порядке оформления перевода обучающегося из одной общеобразовательной организации в другую</w:t>
      </w:r>
    </w:p>
    <w:p w:rsidR="001358B5" w:rsidRPr="00F61C36" w:rsidRDefault="001358B5" w:rsidP="00F61C3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F61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режиме занятий обучающихся</w:t>
      </w:r>
    </w:p>
    <w:p w:rsidR="001358B5" w:rsidRPr="00F61C36" w:rsidRDefault="001358B5" w:rsidP="00F61C3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F61C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 формах, периодичности и порядке текущего контроля успеваемости </w:t>
      </w:r>
    </w:p>
    <w:p w:rsidR="001358B5" w:rsidRPr="00F61C36" w:rsidRDefault="001358B5" w:rsidP="00F61C3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1C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 промежуточной аттестации </w:t>
      </w:r>
      <w:proofErr w:type="gramStart"/>
      <w:r w:rsidRPr="00F61C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1358B5" w:rsidRPr="00F61C36" w:rsidRDefault="001358B5" w:rsidP="00F61C3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C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Положение </w:t>
      </w:r>
      <w:r w:rsidRPr="00F61C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</w:t>
      </w:r>
    </w:p>
    <w:p w:rsidR="001358B5" w:rsidRPr="00F61C36" w:rsidRDefault="001358B5" w:rsidP="00F61C3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о порядке оформления возникновения, приостановления и прекращения отношений  между МОУ «Средняя общеобразовательная школа №2 р.п. Дергачи», обучающимися и родителями несовершеннолетних обучающихс</w:t>
      </w:r>
      <w:proofErr w:type="gramStart"/>
      <w:r w:rsidRPr="00F61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я(</w:t>
      </w:r>
      <w:proofErr w:type="gramEnd"/>
      <w:r w:rsidRPr="00F61C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их законных представителей)</w:t>
      </w:r>
    </w:p>
    <w:p w:rsidR="001358B5" w:rsidRPr="00F61C36" w:rsidRDefault="001358B5" w:rsidP="00F61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</w:t>
      </w:r>
      <w:r w:rsidRPr="00F61C36">
        <w:rPr>
          <w:rFonts w:ascii="Times New Roman" w:hAnsi="Times New Roman" w:cs="Times New Roman"/>
          <w:sz w:val="24"/>
          <w:szCs w:val="24"/>
        </w:rPr>
        <w:t xml:space="preserve"> формах и порядке промежуточной аттестации обучающихся</w:t>
      </w:r>
    </w:p>
    <w:p w:rsidR="00103678" w:rsidRPr="00F61C36" w:rsidRDefault="00103678" w:rsidP="00F61C36">
      <w:pPr>
        <w:pStyle w:val="a3"/>
        <w:keepNext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85"/>
        <w:outlineLvl w:val="0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F61C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об </w:t>
      </w:r>
      <w:proofErr w:type="gramStart"/>
      <w:r w:rsidRPr="00F61C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обучении</w:t>
      </w:r>
      <w:proofErr w:type="gramEnd"/>
      <w:r w:rsidRPr="00F61C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 индивидуальному учебному плану</w:t>
      </w:r>
    </w:p>
    <w:p w:rsidR="00103678" w:rsidRPr="00F61C36" w:rsidRDefault="00103678" w:rsidP="00F61C36">
      <w:pPr>
        <w:pStyle w:val="a3"/>
        <w:keepNext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85"/>
        <w:outlineLvl w:val="0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F61C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Положение о добровольных пожертвованиях.</w:t>
      </w:r>
    </w:p>
    <w:p w:rsidR="00C63119" w:rsidRPr="00F61C36" w:rsidRDefault="00103678" w:rsidP="00F61C36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ind w:right="-185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Решение</w:t>
      </w:r>
      <w:r w:rsidRPr="00F61C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: согласовать данные локальные акты.</w:t>
      </w:r>
    </w:p>
    <w:p w:rsidR="003B0511" w:rsidRPr="00F61C36" w:rsidRDefault="003B0511" w:rsidP="003B05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2. По второму вопросу </w:t>
      </w:r>
      <w:proofErr w:type="gramStart"/>
      <w:r w:rsidRPr="00F61C36">
        <w:rPr>
          <w:rFonts w:ascii="Times New Roman" w:hAnsi="Times New Roman" w:cs="Times New Roman"/>
          <w:color w:val="000000"/>
          <w:sz w:val="24"/>
          <w:szCs w:val="24"/>
        </w:rPr>
        <w:t>слушали Маляр Н.И. Она довела</w:t>
      </w:r>
      <w:proofErr w:type="gramEnd"/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 до сведения присутствующих отчет об использовании добровольных родительских пожертвований (отчет прилагается).</w:t>
      </w:r>
    </w:p>
    <w:p w:rsidR="003B0511" w:rsidRPr="00F61C36" w:rsidRDefault="003B0511" w:rsidP="003B05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61C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0511" w:rsidRPr="00F61C36" w:rsidRDefault="003B0511" w:rsidP="003B0511">
      <w:p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Утвердить отчет об использовании добровольных родительских пожертвований.</w:t>
      </w:r>
    </w:p>
    <w:p w:rsidR="003B0511" w:rsidRPr="00F61C36" w:rsidRDefault="003B0511" w:rsidP="003B05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sz w:val="24"/>
          <w:szCs w:val="24"/>
        </w:rPr>
        <w:t xml:space="preserve">3.По третьему вопросу слушали Маляр Н.И. Она рассказала об изменениях в сфере  использования бюджетных и внебюджетных денежных средств, а именно о вступлении в силу </w:t>
      </w:r>
      <w:hyperlink r:id="rId6" w:tgtFrame="_blank" w:history="1">
        <w:r w:rsidRPr="00F61C36">
          <w:rPr>
            <w:rFonts w:ascii="Times New Roman" w:hAnsi="Times New Roman" w:cs="Times New Roman"/>
            <w:color w:val="26579A"/>
            <w:sz w:val="24"/>
            <w:szCs w:val="24"/>
          </w:rPr>
          <w:t>Федерального закон</w:t>
        </w:r>
      </w:hyperlink>
      <w:r w:rsidRPr="00F61C36">
        <w:rPr>
          <w:rFonts w:ascii="Times New Roman" w:hAnsi="Times New Roman" w:cs="Times New Roman"/>
          <w:color w:val="000000"/>
          <w:sz w:val="24"/>
          <w:szCs w:val="24"/>
        </w:rPr>
        <w:t>а от 05.04.2013 N 44-ФЗ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этому документу школа не имеет права самостоятельно распоряжаться бюджетными и внебюджетными средствами.</w:t>
      </w:r>
      <w:r w:rsidR="002817FD"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7FD" w:rsidRPr="00F61C36">
        <w:rPr>
          <w:rFonts w:ascii="Times New Roman" w:hAnsi="Times New Roman" w:cs="Times New Roman"/>
          <w:color w:val="000000"/>
          <w:sz w:val="24"/>
          <w:szCs w:val="24"/>
        </w:rPr>
        <w:t>направлен на регулирование отношений по обеспечению государственных и муниципальных ну</w:t>
      </w:r>
      <w:proofErr w:type="gramStart"/>
      <w:r w:rsidR="002817FD" w:rsidRPr="00F61C36">
        <w:rPr>
          <w:rFonts w:ascii="Times New Roman" w:hAnsi="Times New Roman" w:cs="Times New Roman"/>
          <w:color w:val="000000"/>
          <w:sz w:val="24"/>
          <w:szCs w:val="24"/>
        </w:rPr>
        <w:t>жд в сф</w:t>
      </w:r>
      <w:proofErr w:type="gramEnd"/>
      <w:r w:rsidR="002817FD"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ере закупок товаров, работ и услуг и регулирует правоотношения, связанные с заключением гражданско-правовых договоров (контрактов), предметом которых являются поставка товара, выполнение работы, оказание услуги (в том числе приобретение недвижимого имущества или аренда имущества). </w:t>
      </w:r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На каждую нужду необходимо заключать договор или контракт. Для </w:t>
      </w:r>
      <w:r w:rsidR="00CF3EDA" w:rsidRPr="00F61C36">
        <w:rPr>
          <w:rFonts w:ascii="Times New Roman" w:hAnsi="Times New Roman" w:cs="Times New Roman"/>
          <w:color w:val="000000"/>
          <w:sz w:val="24"/>
          <w:szCs w:val="24"/>
        </w:rPr>
        <w:t>нашей школы это нереально. Н</w:t>
      </w:r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апример, откачка нечистот, вывоз мусора, </w:t>
      </w:r>
      <w:r w:rsidRPr="00F61C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закупка посуды, канцтоваров, заправка картриджей, приобретение материалов на косметический ремонт школы и другие мелкие нужды</w:t>
      </w:r>
      <w:r w:rsidR="00CF3EDA"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 не возможно заранее запланировать в полном объеме. Поэтому и заключать контракты и договоры невозможно.</w:t>
      </w:r>
    </w:p>
    <w:p w:rsidR="00CF3EDA" w:rsidRPr="00F61C36" w:rsidRDefault="00CF3EDA" w:rsidP="003B05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Воробьева Светлана Анатольевна предложила возложить данные обязанности на родителей. То есть родители из числа желающих закупают необходимую продукцию, оплачивают  выполненные работы и передают это школе по договору пожертвования.</w:t>
      </w:r>
    </w:p>
    <w:p w:rsidR="00CF3EDA" w:rsidRPr="00F61C36" w:rsidRDefault="00CF3EDA" w:rsidP="003B05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61C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3EDA" w:rsidRPr="00F61C36" w:rsidRDefault="00CF3EDA" w:rsidP="003B05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приобретают необходимое имущество на добровольные пожертвования и по договору пожертвования имущество передают безвозмездно </w:t>
      </w:r>
      <w:proofErr w:type="spellStart"/>
      <w:r w:rsidRPr="00F61C36">
        <w:rPr>
          <w:rFonts w:ascii="Times New Roman" w:hAnsi="Times New Roman" w:cs="Times New Roman"/>
          <w:color w:val="000000"/>
          <w:sz w:val="24"/>
          <w:szCs w:val="24"/>
        </w:rPr>
        <w:t>благополучателю</w:t>
      </w:r>
      <w:proofErr w:type="spellEnd"/>
      <w:r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 – МОУ «СОШ № 2 р.п. Дергачи».</w:t>
      </w:r>
    </w:p>
    <w:p w:rsidR="00EB5E2D" w:rsidRPr="00F61C36" w:rsidRDefault="002817FD">
      <w:p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sz w:val="24"/>
          <w:szCs w:val="24"/>
        </w:rPr>
        <w:t xml:space="preserve">4. По четвертому вопросу </w:t>
      </w:r>
      <w:proofErr w:type="gramStart"/>
      <w:r w:rsidRPr="00F61C36">
        <w:rPr>
          <w:rFonts w:ascii="Times New Roman" w:hAnsi="Times New Roman" w:cs="Times New Roman"/>
          <w:sz w:val="24"/>
          <w:szCs w:val="24"/>
        </w:rPr>
        <w:t>слушали библиотекаря Игонин</w:t>
      </w:r>
      <w:r w:rsidR="005528EB" w:rsidRPr="00F61C36">
        <w:rPr>
          <w:rFonts w:ascii="Times New Roman" w:hAnsi="Times New Roman" w:cs="Times New Roman"/>
          <w:sz w:val="24"/>
          <w:szCs w:val="24"/>
        </w:rPr>
        <w:t>у Т.А. О</w:t>
      </w:r>
      <w:r w:rsidRPr="00F61C36">
        <w:rPr>
          <w:rFonts w:ascii="Times New Roman" w:hAnsi="Times New Roman" w:cs="Times New Roman"/>
          <w:sz w:val="24"/>
          <w:szCs w:val="24"/>
        </w:rPr>
        <w:t>на рассказала</w:t>
      </w:r>
      <w:proofErr w:type="gramEnd"/>
      <w:r w:rsidRPr="00F61C36">
        <w:rPr>
          <w:rFonts w:ascii="Times New Roman" w:hAnsi="Times New Roman" w:cs="Times New Roman"/>
          <w:sz w:val="24"/>
          <w:szCs w:val="24"/>
        </w:rPr>
        <w:t xml:space="preserve"> о ситуации с учебниками на сегодняшний день.</w:t>
      </w:r>
      <w:r w:rsidR="005528EB" w:rsidRPr="00F61C36">
        <w:rPr>
          <w:rFonts w:ascii="Times New Roman" w:hAnsi="Times New Roman" w:cs="Times New Roman"/>
          <w:sz w:val="24"/>
          <w:szCs w:val="24"/>
        </w:rPr>
        <w:t xml:space="preserve"> На сегодняшний день недостает 784 экземпляра учебников. Для их приобретения требуется 182 540 рублей.</w:t>
      </w:r>
      <w:r w:rsidR="00080405" w:rsidRPr="00F61C36">
        <w:rPr>
          <w:rFonts w:ascii="Times New Roman" w:hAnsi="Times New Roman" w:cs="Times New Roman"/>
          <w:sz w:val="24"/>
          <w:szCs w:val="24"/>
        </w:rPr>
        <w:t xml:space="preserve"> На содержание в 2014 году одного ученика начальной школы выделяется 500 рублей, основной школы – 710 рублей, средней школы – 730 рублей. Всего  более 200 тысяч по нашей школе. Из этой суммы  выделяются деньги на подвоз детей на приобретение запчастей для школьного автобуса, приобретение журналов, мела, и прочих нужд. Но  большая часть этой суммы в нашей школе выделяется на приобретение учебников.  В связи с поэтапным переходом на ФГОС необходимо приобрести 30 комплектов учебников для 7-го класса. </w:t>
      </w:r>
    </w:p>
    <w:p w:rsidR="00080405" w:rsidRPr="00F61C36" w:rsidRDefault="00080405">
      <w:p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sz w:val="24"/>
          <w:szCs w:val="24"/>
        </w:rPr>
        <w:t xml:space="preserve">Лаврентьева Анна Юрьевна предложила на приобретение учебников в 2014 году выделить сумму </w:t>
      </w:r>
      <w:proofErr w:type="gramStart"/>
      <w:r w:rsidRPr="00F61C3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61C36">
        <w:rPr>
          <w:rFonts w:ascii="Times New Roman" w:hAnsi="Times New Roman" w:cs="Times New Roman"/>
          <w:sz w:val="24"/>
          <w:szCs w:val="24"/>
        </w:rPr>
        <w:t>, так как цены на учебники могут вырасти, и количество детей в классах может увеличиться.</w:t>
      </w:r>
    </w:p>
    <w:p w:rsidR="00080405" w:rsidRPr="00F61C36" w:rsidRDefault="00080405">
      <w:p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F61C36">
        <w:rPr>
          <w:rFonts w:ascii="Times New Roman" w:hAnsi="Times New Roman" w:cs="Times New Roman"/>
          <w:sz w:val="24"/>
          <w:szCs w:val="24"/>
        </w:rPr>
        <w:t>: рекомендовать администрации школы на приобретение учебников выделить 190 тысяч рублей бюджетных средств.</w:t>
      </w:r>
    </w:p>
    <w:p w:rsidR="00080405" w:rsidRPr="00F61C36" w:rsidRDefault="00080405">
      <w:p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sz w:val="24"/>
          <w:szCs w:val="24"/>
        </w:rPr>
        <w:t>5.По пятому вопрос</w:t>
      </w:r>
      <w:r w:rsidR="00C63119" w:rsidRPr="00F61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119" w:rsidRPr="00F61C36">
        <w:rPr>
          <w:rFonts w:ascii="Times New Roman" w:hAnsi="Times New Roman" w:cs="Times New Roman"/>
          <w:sz w:val="24"/>
          <w:szCs w:val="24"/>
        </w:rPr>
        <w:t>слушали Маляр Н.И. О</w:t>
      </w:r>
      <w:r w:rsidRPr="00F61C36">
        <w:rPr>
          <w:rFonts w:ascii="Times New Roman" w:hAnsi="Times New Roman" w:cs="Times New Roman"/>
          <w:sz w:val="24"/>
          <w:szCs w:val="24"/>
        </w:rPr>
        <w:t>на познакомил</w:t>
      </w:r>
      <w:r w:rsidR="00C63119" w:rsidRPr="00F61C3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63119" w:rsidRPr="00F61C36">
        <w:rPr>
          <w:rFonts w:ascii="Times New Roman" w:hAnsi="Times New Roman" w:cs="Times New Roman"/>
          <w:sz w:val="24"/>
          <w:szCs w:val="24"/>
        </w:rPr>
        <w:t xml:space="preserve"> родителей с необходимыми ремонтными работами в 2014 году. Это, в основном,  косметический ремонт</w:t>
      </w:r>
      <w:r w:rsidR="00103678" w:rsidRPr="00F61C36">
        <w:rPr>
          <w:rFonts w:ascii="Times New Roman" w:hAnsi="Times New Roman" w:cs="Times New Roman"/>
          <w:sz w:val="24"/>
          <w:szCs w:val="24"/>
        </w:rPr>
        <w:t xml:space="preserve"> классов и рекреаций школы</w:t>
      </w:r>
    </w:p>
    <w:p w:rsidR="00103678" w:rsidRPr="00F61C36" w:rsidRDefault="00103678">
      <w:p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F61C36">
        <w:rPr>
          <w:rFonts w:ascii="Times New Roman" w:hAnsi="Times New Roman" w:cs="Times New Roman"/>
          <w:sz w:val="24"/>
          <w:szCs w:val="24"/>
        </w:rPr>
        <w:t>: провести в классах и рекреациях школы косметический ремонт силами родителей с привлечением добровольных пожертвований</w:t>
      </w:r>
    </w:p>
    <w:sectPr w:rsidR="00103678" w:rsidRPr="00F61C36" w:rsidSect="0087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60A"/>
    <w:multiLevelType w:val="hybridMultilevel"/>
    <w:tmpl w:val="29E4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0C82"/>
    <w:multiLevelType w:val="hybridMultilevel"/>
    <w:tmpl w:val="0E32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8798F"/>
    <w:multiLevelType w:val="hybridMultilevel"/>
    <w:tmpl w:val="29E4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5E2D"/>
    <w:rsid w:val="00080405"/>
    <w:rsid w:val="00103678"/>
    <w:rsid w:val="001358B5"/>
    <w:rsid w:val="002817FD"/>
    <w:rsid w:val="003B0511"/>
    <w:rsid w:val="005528EB"/>
    <w:rsid w:val="00836C68"/>
    <w:rsid w:val="00871E5F"/>
    <w:rsid w:val="00B3743B"/>
    <w:rsid w:val="00C63119"/>
    <w:rsid w:val="00CF3EDA"/>
    <w:rsid w:val="00EB5E2D"/>
    <w:rsid w:val="00F6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53464/" TargetMode="External"/><Relationship Id="rId5" Type="http://schemas.openxmlformats.org/officeDocument/2006/relationships/hyperlink" Target="http://base.garant.ru/703534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2014-04-08T11:20:00Z</dcterms:created>
  <dcterms:modified xsi:type="dcterms:W3CDTF">2014-04-08T12:40:00Z</dcterms:modified>
</cp:coreProperties>
</file>